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59A6" w14:textId="77777777" w:rsidR="00DE3E32" w:rsidRPr="004A5E5E" w:rsidRDefault="00DE3E32" w:rsidP="008F688B">
      <w:pPr>
        <w:spacing w:line="240" w:lineRule="auto"/>
        <w:jc w:val="both"/>
        <w:rPr>
          <w:rFonts w:ascii="Arial" w:hAnsi="Arial" w:cs="Arial"/>
          <w:b/>
          <w:bCs/>
          <w:u w:val="single"/>
          <w:lang w:val="es-ES"/>
        </w:rPr>
      </w:pPr>
      <w:r w:rsidRPr="004A5E5E">
        <w:rPr>
          <w:rFonts w:ascii="Arial" w:hAnsi="Arial" w:cs="Arial"/>
          <w:b/>
          <w:bCs/>
          <w:u w:val="single"/>
          <w:lang w:val="es-ES"/>
        </w:rPr>
        <w:t xml:space="preserve">Declaración Comprensiva </w:t>
      </w:r>
      <w:r w:rsidR="008F688B" w:rsidRPr="004A5E5E">
        <w:rPr>
          <w:rFonts w:ascii="Arial" w:hAnsi="Arial" w:cs="Arial"/>
          <w:b/>
          <w:bCs/>
          <w:u w:val="single"/>
          <w:lang w:val="es-ES"/>
        </w:rPr>
        <w:t>Política de Implicación a Largo Plazo</w:t>
      </w:r>
      <w:r w:rsidRPr="004A5E5E">
        <w:rPr>
          <w:rFonts w:ascii="Arial" w:hAnsi="Arial" w:cs="Arial"/>
          <w:b/>
          <w:bCs/>
          <w:u w:val="single"/>
          <w:lang w:val="es-ES"/>
        </w:rPr>
        <w:t>:</w:t>
      </w:r>
    </w:p>
    <w:p w14:paraId="08DC9481" w14:textId="6F3FD75E" w:rsidR="008F688B" w:rsidRDefault="008F688B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4A5E5E">
        <w:rPr>
          <w:rFonts w:ascii="Arial" w:hAnsi="Arial" w:cs="Arial"/>
          <w:b/>
          <w:bCs/>
          <w:u w:val="single"/>
          <w:lang w:val="es-ES"/>
        </w:rPr>
        <w:t>Fond</w:t>
      </w:r>
      <w:r w:rsidR="00CF6AAA">
        <w:rPr>
          <w:rFonts w:ascii="Arial" w:hAnsi="Arial" w:cs="Arial"/>
          <w:b/>
          <w:bCs/>
          <w:u w:val="single"/>
          <w:lang w:val="es-ES"/>
        </w:rPr>
        <w:t>uero Personal</w:t>
      </w:r>
      <w:r w:rsidR="00DE3E32" w:rsidRPr="004A5E5E">
        <w:rPr>
          <w:rFonts w:ascii="Arial" w:hAnsi="Arial" w:cs="Arial"/>
          <w:b/>
          <w:bCs/>
          <w:u w:val="single"/>
          <w:lang w:val="es-ES"/>
        </w:rPr>
        <w:t>: Año 202</w:t>
      </w:r>
      <w:r w:rsidR="00934205">
        <w:rPr>
          <w:rFonts w:ascii="Arial" w:hAnsi="Arial" w:cs="Arial"/>
          <w:b/>
          <w:bCs/>
          <w:u w:val="single"/>
          <w:lang w:val="es-ES"/>
        </w:rPr>
        <w:t>1</w:t>
      </w:r>
    </w:p>
    <w:p w14:paraId="595F61CE" w14:textId="7805FD90" w:rsidR="00DE3E32" w:rsidRPr="00EB0376" w:rsidRDefault="00DE3E32" w:rsidP="00DD3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Ejercicio de los Derechos de Voto</w:t>
      </w:r>
    </w:p>
    <w:p w14:paraId="3FC657D8" w14:textId="584D5246" w:rsidR="00EB0376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DE3E32">
        <w:rPr>
          <w:rFonts w:ascii="Arial" w:hAnsi="Arial" w:cs="Arial"/>
          <w:bCs/>
          <w:lang w:val="es-ES"/>
        </w:rPr>
        <w:t>Durante el ejercicio 202</w:t>
      </w:r>
      <w:r w:rsidR="00934205">
        <w:rPr>
          <w:rFonts w:ascii="Arial" w:hAnsi="Arial" w:cs="Arial"/>
          <w:bCs/>
          <w:lang w:val="es-ES"/>
        </w:rPr>
        <w:t>1</w:t>
      </w:r>
      <w:r w:rsidRPr="00DE3E32">
        <w:rPr>
          <w:rFonts w:ascii="Arial" w:hAnsi="Arial" w:cs="Arial"/>
          <w:bCs/>
          <w:lang w:val="es-ES"/>
        </w:rPr>
        <w:t xml:space="preserve"> se ejerció el derecho a voto en la mayoría de las compañías que conformaban la cartera,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 xml:space="preserve">delegándolo o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>ejerciéndolo de manera directa. En todos los casos, se utilizó el criterio exclusivo del equipo gestor, sin acudir a asesores externos</w:t>
      </w:r>
      <w:r w:rsidR="00EB0376">
        <w:rPr>
          <w:rFonts w:ascii="Arial" w:hAnsi="Arial" w:cs="Arial"/>
          <w:bCs/>
          <w:lang w:val="es-ES"/>
        </w:rPr>
        <w:t xml:space="preserve">. </w:t>
      </w:r>
      <w:r w:rsidRPr="00DE3E32">
        <w:rPr>
          <w:rFonts w:ascii="Arial" w:hAnsi="Arial" w:cs="Arial"/>
          <w:bCs/>
          <w:lang w:val="es-ES"/>
        </w:rPr>
        <w:t xml:space="preserve">No surgieron conflictos de interés en el periodo. </w:t>
      </w:r>
    </w:p>
    <w:p w14:paraId="44B8A401" w14:textId="39849A23" w:rsidR="00EB0376" w:rsidRPr="00EB0376" w:rsidRDefault="00EB0376" w:rsidP="00EB03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Principales Riesgos a medio y largo plazo asociados a las Inversiones</w:t>
      </w:r>
    </w:p>
    <w:p w14:paraId="536E48C6" w14:textId="39C13B71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distribución por edades del colectivo de partícipes y beneficiarios determina el perfil y la duración de los pasivos a largo plazo del Fondo de Pensiones. En este sentido, el Fondo de Pensiones se encuentra clasificado como Renta Fija Mixta, esto supone </w:t>
      </w:r>
      <w:r w:rsidR="00220C08">
        <w:rPr>
          <w:rFonts w:ascii="Arial" w:hAnsi="Arial" w:cs="Arial"/>
          <w:bCs/>
          <w:lang w:val="es-ES"/>
        </w:rPr>
        <w:t xml:space="preserve">una orientación inversora caracterizada por </w:t>
      </w:r>
      <w:r>
        <w:rPr>
          <w:rFonts w:ascii="Arial" w:hAnsi="Arial" w:cs="Arial"/>
          <w:bCs/>
          <w:lang w:val="es-ES"/>
        </w:rPr>
        <w:t xml:space="preserve">un 30% del patrimonio en activos de </w:t>
      </w:r>
      <w:r w:rsidR="00220C08">
        <w:rPr>
          <w:rFonts w:ascii="Arial" w:hAnsi="Arial" w:cs="Arial"/>
          <w:bCs/>
          <w:lang w:val="es-ES"/>
        </w:rPr>
        <w:t>R</w:t>
      </w:r>
      <w:r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>
        <w:rPr>
          <w:rFonts w:ascii="Arial" w:hAnsi="Arial" w:cs="Arial"/>
          <w:bCs/>
          <w:lang w:val="es-ES"/>
        </w:rPr>
        <w:t>ariable</w:t>
      </w:r>
      <w:r w:rsidR="00934205">
        <w:rPr>
          <w:rFonts w:ascii="Arial" w:hAnsi="Arial" w:cs="Arial"/>
          <w:bCs/>
          <w:lang w:val="es-ES"/>
        </w:rPr>
        <w:t xml:space="preserve"> dentro de un rango amplio de actuación.</w:t>
      </w:r>
    </w:p>
    <w:p w14:paraId="45F87C59" w14:textId="2F11A832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 xml:space="preserve">Los principios que subyacen en la estrategia de inversión del Fondo se resumen a continuación y estarán invertidos de acuerdo con criterios de seguridad, rentabilidad, diversificación, dispersión, liquidez, congruencia monetaria y de plazos adecuados a sus finalidades: </w:t>
      </w:r>
    </w:p>
    <w:p w14:paraId="5B777C1C" w14:textId="6AD5E03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diversificación: Las inversiones estarán diversificadas dentro de cada</w:t>
      </w:r>
      <w:r>
        <w:rPr>
          <w:rFonts w:ascii="Arial" w:hAnsi="Arial" w:cs="Arial"/>
          <w:bCs/>
          <w:lang w:val="es-ES"/>
        </w:rPr>
        <w:t xml:space="preserve"> </w:t>
      </w:r>
      <w:r w:rsidR="00EB0376" w:rsidRPr="00EB0376">
        <w:rPr>
          <w:rFonts w:ascii="Arial" w:hAnsi="Arial" w:cs="Arial"/>
          <w:bCs/>
          <w:lang w:val="es-ES"/>
        </w:rPr>
        <w:t>tipo de activo, con el objetivo de minimizar el riesgo resultante de concentraciones inusuales en determinadas emisiones, empresas, industrias, plazos o zonas geográficas.</w:t>
      </w:r>
    </w:p>
    <w:p w14:paraId="1E6F4AE2" w14:textId="50CF536A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gestión a largo plazo: La gestión del fondo tiene un carácter de largo plazo y por tanto las compras de activos se realizan con esta visión de permanencia en cartera. Este carácter de inversión permite asumir los riesgos de iliquidez y volatilidad de determinados tipos de activos para conseguir sus primas de rentabilidad correspondientes.</w:t>
      </w:r>
    </w:p>
    <w:p w14:paraId="04A480C6" w14:textId="013010C0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>Estilo de gestión: El estilo de gestión de la cartera es defini</w:t>
      </w:r>
      <w:bookmarkStart w:id="0" w:name="_GoBack"/>
      <w:bookmarkEnd w:id="0"/>
      <w:r w:rsidRPr="00EB0376">
        <w:rPr>
          <w:rFonts w:ascii="Arial" w:hAnsi="Arial" w:cs="Arial"/>
          <w:bCs/>
          <w:lang w:val="es-ES"/>
        </w:rPr>
        <w:t>do como criterio de gestión activa y se materializa de forma directa mediante</w:t>
      </w:r>
      <w:r w:rsidR="00FD1BBB">
        <w:rPr>
          <w:rFonts w:ascii="Arial" w:hAnsi="Arial" w:cs="Arial"/>
          <w:bCs/>
          <w:lang w:val="es-ES"/>
        </w:rPr>
        <w:t xml:space="preserve"> l</w:t>
      </w:r>
      <w:r w:rsidRPr="00EB0376">
        <w:rPr>
          <w:rFonts w:ascii="Arial" w:hAnsi="Arial" w:cs="Arial"/>
          <w:bCs/>
          <w:lang w:val="es-ES"/>
        </w:rPr>
        <w:t xml:space="preserve">a incorporación </w:t>
      </w:r>
      <w:r w:rsidR="00FD1BBB">
        <w:rPr>
          <w:rFonts w:ascii="Arial" w:hAnsi="Arial" w:cs="Arial"/>
          <w:bCs/>
          <w:lang w:val="es-ES"/>
        </w:rPr>
        <w:t xml:space="preserve">de una </w:t>
      </w:r>
      <w:r w:rsidRPr="00EB0376">
        <w:rPr>
          <w:rFonts w:ascii="Arial" w:hAnsi="Arial" w:cs="Arial"/>
          <w:bCs/>
          <w:lang w:val="es-ES"/>
        </w:rPr>
        <w:t xml:space="preserve">cartera de valores o de forma indirecta mediante </w:t>
      </w:r>
      <w:r w:rsidR="00FD1BBB">
        <w:rPr>
          <w:rFonts w:ascii="Arial" w:hAnsi="Arial" w:cs="Arial"/>
          <w:bCs/>
          <w:lang w:val="es-ES"/>
        </w:rPr>
        <w:t xml:space="preserve">una cartera de </w:t>
      </w:r>
      <w:r w:rsidRPr="00EB0376">
        <w:rPr>
          <w:rFonts w:ascii="Arial" w:hAnsi="Arial" w:cs="Arial"/>
          <w:bCs/>
          <w:lang w:val="es-ES"/>
        </w:rPr>
        <w:t>fondos de inversión</w:t>
      </w:r>
      <w:r w:rsidR="00FD1BBB">
        <w:rPr>
          <w:rFonts w:ascii="Arial" w:hAnsi="Arial" w:cs="Arial"/>
          <w:bCs/>
          <w:lang w:val="es-ES"/>
        </w:rPr>
        <w:t>.</w:t>
      </w:r>
    </w:p>
    <w:p w14:paraId="60BB015C" w14:textId="1B570C16" w:rsidR="00FD1BBB" w:rsidRDefault="00FD1BBB" w:rsidP="00FD1BB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Fondo de Pensiones no garantiza la rentabilidad de las aportaciones realizadas y por tanto los partícipes y beneficiarios asumen el riesgo de inversión.</w:t>
      </w:r>
      <w:r w:rsidRPr="00FD1BBB">
        <w:rPr>
          <w:rFonts w:ascii="Arial" w:hAnsi="Arial" w:cs="Arial"/>
          <w:bCs/>
          <w:lang w:val="es-ES"/>
        </w:rPr>
        <w:t xml:space="preserve"> Los riesgos financieros comprenden, entre otros, los riesgos de mercado, de crédito, de liquidez y de contrapartida y los riesgos operativos de las entidades gestoras y depositarlas, pudiendo provocar en determinados momentos rentabilidades negativas</w:t>
      </w:r>
      <w:r>
        <w:rPr>
          <w:rFonts w:ascii="Arial" w:hAnsi="Arial" w:cs="Arial"/>
          <w:bCs/>
          <w:lang w:val="es-ES"/>
        </w:rPr>
        <w:t xml:space="preserve"> en </w:t>
      </w:r>
      <w:r w:rsidRPr="00FD1BBB">
        <w:rPr>
          <w:rFonts w:ascii="Arial" w:hAnsi="Arial" w:cs="Arial"/>
          <w:bCs/>
          <w:lang w:val="es-ES"/>
        </w:rPr>
        <w:t>el Fondo de Pensiones. La Comisión de Control</w:t>
      </w:r>
      <w:r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en su normal funcionamiento, realiza el control y seguimiento de los riesgos de las inversiones teniendo en cuenta las disposiciones de la declaración de la política de inversión del Fondo de Pensiones para su control y gestión</w:t>
      </w:r>
      <w:r>
        <w:rPr>
          <w:rFonts w:ascii="Arial" w:hAnsi="Arial" w:cs="Arial"/>
          <w:bCs/>
          <w:lang w:val="es-ES"/>
        </w:rPr>
        <w:t>.</w:t>
      </w:r>
    </w:p>
    <w:p w14:paraId="2B44BF31" w14:textId="076783D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93A4638" w14:textId="054CC9D2" w:rsidR="00FD1BBB" w:rsidRPr="00FD1BBB" w:rsidRDefault="00FD1BBB" w:rsidP="00FD1BB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FD1BBB">
        <w:rPr>
          <w:rFonts w:ascii="Arial" w:hAnsi="Arial" w:cs="Arial"/>
          <w:b/>
          <w:bCs/>
          <w:lang w:val="es-ES"/>
        </w:rPr>
        <w:t>Colocación Estratégica de Activos y Composición de la Cartera</w:t>
      </w:r>
    </w:p>
    <w:p w14:paraId="60C6DCE9" w14:textId="4815D306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1E70D7B" w14:textId="4D468E10" w:rsidR="00220C08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Los activos del Fondo de Pensiones se invertirán mayoritariamente en mercados regulados y principalmente, en activos de renta fija</w:t>
      </w:r>
      <w:r>
        <w:rPr>
          <w:rFonts w:ascii="Arial" w:hAnsi="Arial" w:cs="Arial"/>
          <w:bCs/>
          <w:lang w:val="es-ES"/>
        </w:rPr>
        <w:t xml:space="preserve"> y</w:t>
      </w:r>
      <w:r w:rsidRPr="00FD1BBB">
        <w:rPr>
          <w:rFonts w:ascii="Arial" w:hAnsi="Arial" w:cs="Arial"/>
          <w:bCs/>
          <w:lang w:val="es-ES"/>
        </w:rPr>
        <w:t xml:space="preserve"> renta variable</w:t>
      </w:r>
      <w:r>
        <w:rPr>
          <w:rFonts w:ascii="Arial" w:hAnsi="Arial" w:cs="Arial"/>
          <w:bCs/>
          <w:lang w:val="es-ES"/>
        </w:rPr>
        <w:t>.</w:t>
      </w:r>
      <w:r w:rsidR="004A5E5E">
        <w:rPr>
          <w:rFonts w:ascii="Arial" w:hAnsi="Arial" w:cs="Arial"/>
          <w:bCs/>
          <w:lang w:val="es-ES"/>
        </w:rPr>
        <w:t xml:space="preserve"> T</w:t>
      </w:r>
      <w:r w:rsidRPr="00FD1BBB">
        <w:rPr>
          <w:rFonts w:ascii="Arial" w:hAnsi="Arial" w:cs="Arial"/>
          <w:bCs/>
          <w:lang w:val="es-ES"/>
        </w:rPr>
        <w:t xml:space="preserve">odos los tipos de activo del </w:t>
      </w:r>
      <w:r w:rsidR="00220C08">
        <w:rPr>
          <w:rFonts w:ascii="Arial" w:hAnsi="Arial" w:cs="Arial"/>
          <w:bCs/>
          <w:lang w:val="es-ES"/>
        </w:rPr>
        <w:t>F</w:t>
      </w:r>
      <w:r w:rsidRPr="00FD1BBB">
        <w:rPr>
          <w:rFonts w:ascii="Arial" w:hAnsi="Arial" w:cs="Arial"/>
          <w:bCs/>
          <w:lang w:val="es-ES"/>
        </w:rPr>
        <w:t>ondo tienen vocación de acuerdo con el objetivo de largo plazo</w:t>
      </w:r>
      <w:r w:rsidR="00220C08">
        <w:rPr>
          <w:rFonts w:ascii="Arial" w:hAnsi="Arial" w:cs="Arial"/>
          <w:bCs/>
          <w:lang w:val="es-ES"/>
        </w:rPr>
        <w:t>, en el caso de</w:t>
      </w:r>
      <w:r w:rsidRPr="00FD1BBB">
        <w:rPr>
          <w:rFonts w:ascii="Arial" w:hAnsi="Arial" w:cs="Arial"/>
          <w:bCs/>
          <w:lang w:val="es-ES"/>
        </w:rPr>
        <w:t xml:space="preserve"> </w:t>
      </w:r>
      <w:r w:rsidR="00220C08">
        <w:rPr>
          <w:rFonts w:ascii="Arial" w:hAnsi="Arial" w:cs="Arial"/>
          <w:bCs/>
          <w:lang w:val="es-ES"/>
        </w:rPr>
        <w:t>la R</w:t>
      </w:r>
      <w:r w:rsidRPr="00FD1BBB"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 w:rsidRPr="00FD1BBB">
        <w:rPr>
          <w:rFonts w:ascii="Arial" w:hAnsi="Arial" w:cs="Arial"/>
          <w:bCs/>
          <w:lang w:val="es-ES"/>
        </w:rPr>
        <w:t xml:space="preserve">ariable </w:t>
      </w:r>
      <w:r w:rsidR="00220C08">
        <w:rPr>
          <w:rFonts w:ascii="Arial" w:hAnsi="Arial" w:cs="Arial"/>
          <w:bCs/>
          <w:lang w:val="es-ES"/>
        </w:rPr>
        <w:t xml:space="preserve">con un enfoque </w:t>
      </w:r>
      <w:r w:rsidRPr="00FD1BBB">
        <w:rPr>
          <w:rFonts w:ascii="Arial" w:hAnsi="Arial" w:cs="Arial"/>
          <w:bCs/>
          <w:lang w:val="es-ES"/>
        </w:rPr>
        <w:t xml:space="preserve">global </w:t>
      </w:r>
      <w:r w:rsidR="00220C08">
        <w:rPr>
          <w:rFonts w:ascii="Arial" w:hAnsi="Arial" w:cs="Arial"/>
          <w:bCs/>
          <w:lang w:val="es-ES"/>
        </w:rPr>
        <w:t xml:space="preserve">ya sea en directo a través de acciones o de manera indirecta a través de </w:t>
      </w:r>
      <w:r w:rsidRPr="00FD1BBB">
        <w:rPr>
          <w:rFonts w:ascii="Arial" w:hAnsi="Arial" w:cs="Arial"/>
          <w:bCs/>
          <w:lang w:val="es-ES"/>
        </w:rPr>
        <w:t>participaciones en instituciones de inversión colectiva</w:t>
      </w:r>
      <w:r w:rsidR="00220C08"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para contribuir a la consecución del objetivo de rentabilidad a largo plazo del Fondo de Pensiones</w:t>
      </w:r>
      <w:r w:rsidR="00220C08">
        <w:rPr>
          <w:rFonts w:ascii="Arial" w:hAnsi="Arial" w:cs="Arial"/>
          <w:bCs/>
          <w:lang w:val="es-ES"/>
        </w:rPr>
        <w:t>.</w:t>
      </w:r>
    </w:p>
    <w:p w14:paraId="084D7B1A" w14:textId="26C4D3B5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Esta estrategia escogida ha de permitir obtener una rentabilidad a largo plazo y sostenida en el tiempo que supere al IPC anual (Índice de Precios al Consumo general español), debiendo entenderse esta referencia como un indicativo de la estrategia a largo plazo, sin que, en ningún caso, pueda ser interpretado como garantía o compromiso colectivo o individual para partícipes y beneficiarios.</w:t>
      </w:r>
    </w:p>
    <w:p w14:paraId="0F8ED6D7" w14:textId="4F919C14" w:rsidR="004A5E5E" w:rsidRDefault="004A5E5E" w:rsidP="004A5E5E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A cierre del ejercicio 202</w:t>
      </w:r>
      <w:r w:rsidR="00934205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 xml:space="preserve">, la valoración a contado de la cartera de inversiones del Fondo de Pensiones era de </w:t>
      </w:r>
      <w:r w:rsidR="00487715">
        <w:rPr>
          <w:rFonts w:ascii="Arial" w:hAnsi="Arial" w:cs="Arial"/>
          <w:bCs/>
          <w:lang w:val="es-ES"/>
        </w:rPr>
        <w:t>5</w:t>
      </w:r>
      <w:r w:rsidR="00934205">
        <w:rPr>
          <w:rFonts w:ascii="Arial" w:hAnsi="Arial" w:cs="Arial"/>
          <w:bCs/>
          <w:lang w:val="es-ES"/>
        </w:rPr>
        <w:t>5,25</w:t>
      </w:r>
      <w:r>
        <w:rPr>
          <w:rFonts w:ascii="Arial" w:hAnsi="Arial" w:cs="Arial"/>
          <w:bCs/>
          <w:lang w:val="es-ES"/>
        </w:rPr>
        <w:t xml:space="preserve"> Millones de Euros. La estructura de inversiones estaba repartida en un </w:t>
      </w:r>
      <w:r w:rsidR="00934205">
        <w:rPr>
          <w:rFonts w:ascii="Arial" w:hAnsi="Arial" w:cs="Arial"/>
          <w:bCs/>
          <w:lang w:val="es-ES"/>
        </w:rPr>
        <w:t>66,89</w:t>
      </w:r>
      <w:r>
        <w:rPr>
          <w:rFonts w:ascii="Arial" w:hAnsi="Arial" w:cs="Arial"/>
          <w:bCs/>
          <w:lang w:val="es-ES"/>
        </w:rPr>
        <w:t xml:space="preserve">% de renta fija (incluyendo la liquidez) y en un </w:t>
      </w:r>
      <w:r w:rsidR="00934205">
        <w:rPr>
          <w:rFonts w:ascii="Arial" w:hAnsi="Arial" w:cs="Arial"/>
          <w:bCs/>
          <w:lang w:val="es-ES"/>
        </w:rPr>
        <w:t>33,11</w:t>
      </w:r>
      <w:r>
        <w:rPr>
          <w:rFonts w:ascii="Arial" w:hAnsi="Arial" w:cs="Arial"/>
          <w:bCs/>
          <w:lang w:val="es-ES"/>
        </w:rPr>
        <w:t>% en renta variable.</w:t>
      </w:r>
    </w:p>
    <w:p w14:paraId="67FA7CB3" w14:textId="77777777" w:rsidR="004A5E5E" w:rsidRDefault="004A5E5E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62620D3A" w14:textId="53AAE4E9" w:rsidR="00220C08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D8F2B39" w14:textId="7F57010B" w:rsidR="00220C08" w:rsidRPr="00FD1BBB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335889">
        <w:rPr>
          <w:noProof/>
        </w:rPr>
        <w:drawing>
          <wp:anchor distT="0" distB="0" distL="114300" distR="114300" simplePos="0" relativeHeight="251658240" behindDoc="0" locked="0" layoutInCell="1" allowOverlap="1" wp14:anchorId="787A1DEB" wp14:editId="3D549EF2">
            <wp:simplePos x="0" y="0"/>
            <wp:positionH relativeFrom="column">
              <wp:posOffset>766445</wp:posOffset>
            </wp:positionH>
            <wp:positionV relativeFrom="paragraph">
              <wp:posOffset>210820</wp:posOffset>
            </wp:positionV>
            <wp:extent cx="4046220" cy="2322195"/>
            <wp:effectExtent l="0" t="0" r="11430" b="1905"/>
            <wp:wrapSquare wrapText="bothSides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2EBF1" w14:textId="75D4BA96" w:rsidR="0052307E" w:rsidRDefault="0052307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D070D71" w14:textId="129B991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64DF17B" w14:textId="2735F6DE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C4C6DCD" w14:textId="7B1D326D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A248173" w14:textId="5586EA60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3DA374C" w14:textId="558830F4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64CAF261" w14:textId="58C16919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EE9D993" w14:textId="3C4C88A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F2488D3" w14:textId="17A1EC0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9E8BF88" w14:textId="310888F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A6BD874" w14:textId="23222D6E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hAnsi="Arial" w:cs="Arial"/>
          <w:bCs/>
          <w:lang w:val="es-ES"/>
        </w:rPr>
        <w:t>En relación a</w:t>
      </w:r>
      <w:proofErr w:type="gramEnd"/>
      <w:r>
        <w:rPr>
          <w:rFonts w:ascii="Arial" w:hAnsi="Arial" w:cs="Arial"/>
          <w:bCs/>
          <w:lang w:val="es-ES"/>
        </w:rPr>
        <w:t xml:space="preserve"> la rotación de la cartera de inversiones, la estimación de dicho coeficiente de rotación se realiza en base a datos de patrimonio medio del Fondo a lo largo del período y de las compras y ventas realizadas (excluyendo las suscripciones y los reembolsos. En base a ello, a cierre del 31 de diciembre de 202</w:t>
      </w:r>
      <w:r w:rsidR="00934205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>, el coeficiente de rotación anual ha sido d</w:t>
      </w:r>
      <w:r w:rsidR="002955F1">
        <w:rPr>
          <w:rFonts w:ascii="Arial" w:hAnsi="Arial" w:cs="Arial"/>
          <w:bCs/>
          <w:lang w:val="es-ES"/>
        </w:rPr>
        <w:t xml:space="preserve">e </w:t>
      </w:r>
      <w:r w:rsidR="00934205">
        <w:rPr>
          <w:rFonts w:ascii="Arial" w:hAnsi="Arial" w:cs="Arial"/>
          <w:bCs/>
          <w:lang w:val="es-ES"/>
        </w:rPr>
        <w:t>1,67</w:t>
      </w:r>
      <w:r w:rsidR="002955F1">
        <w:rPr>
          <w:rFonts w:ascii="Arial" w:hAnsi="Arial" w:cs="Arial"/>
          <w:bCs/>
          <w:lang w:val="es-ES"/>
        </w:rPr>
        <w:t xml:space="preserve"> veces:</w:t>
      </w:r>
    </w:p>
    <w:p w14:paraId="6029C585" w14:textId="4444EAD1" w:rsidR="004A5E5E" w:rsidRDefault="00934205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D77362" wp14:editId="20BE6A35">
            <wp:simplePos x="0" y="0"/>
            <wp:positionH relativeFrom="column">
              <wp:posOffset>258208</wp:posOffset>
            </wp:positionH>
            <wp:positionV relativeFrom="paragraph">
              <wp:posOffset>332873</wp:posOffset>
            </wp:positionV>
            <wp:extent cx="5305425" cy="21812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D913F" w14:textId="66902E16" w:rsidR="004A5E5E" w:rsidRPr="00EB0376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sectPr w:rsidR="004A5E5E" w:rsidRPr="00EB0376" w:rsidSect="00FD1BBB"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262B"/>
    <w:multiLevelType w:val="hybridMultilevel"/>
    <w:tmpl w:val="69DEFCD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E"/>
    <w:rsid w:val="00220C08"/>
    <w:rsid w:val="002955F1"/>
    <w:rsid w:val="00327409"/>
    <w:rsid w:val="003776A0"/>
    <w:rsid w:val="00487715"/>
    <w:rsid w:val="004A5E5E"/>
    <w:rsid w:val="0052307E"/>
    <w:rsid w:val="0052412C"/>
    <w:rsid w:val="007C1EC8"/>
    <w:rsid w:val="008F688B"/>
    <w:rsid w:val="00934205"/>
    <w:rsid w:val="00BD3FAB"/>
    <w:rsid w:val="00CF6AAA"/>
    <w:rsid w:val="00DE3E32"/>
    <w:rsid w:val="00EB0376"/>
    <w:rsid w:val="00EC472E"/>
    <w:rsid w:val="00FB43A7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63A"/>
  <w15:chartTrackingRefBased/>
  <w15:docId w15:val="{9CA5A7A5-E6B2-4EE0-8044-6BFC7B6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E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DT01\FINANZAS\CLIENTES\2020\ESPA&#209;ADUERO-GMI\FONDEMPLEO\2020_12\INFORME\PLANTILLA_INFORME_LT.xlsb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1000"/>
              <a:t>Distribución de la cartera por tipos de activo</a:t>
            </a:r>
          </a:p>
        </c:rich>
      </c:tx>
      <c:layout>
        <c:manualLayout>
          <c:xMode val="edge"/>
          <c:yMode val="edge"/>
          <c:x val="0.18001933968780462"/>
          <c:y val="3.70369044778498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8646974941008"/>
          <c:y val="0.36862558846810822"/>
          <c:w val="0.70432115905484283"/>
          <c:h val="0.45129903535414501"/>
        </c:manualLayout>
      </c:layout>
      <c:pie3DChart>
        <c:varyColors val="1"/>
        <c:ser>
          <c:idx val="0"/>
          <c:order val="0"/>
          <c:tx>
            <c:strRef>
              <c:f>Graficos!$K$2</c:f>
              <c:strCache>
                <c:ptCount val="1"/>
                <c:pt idx="0">
                  <c:v>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D93-4937-8E8B-ADA35F0674CA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BF014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D93-4937-8E8B-ADA35F0674CA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990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D93-4937-8E8B-ADA35F0674CA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D93-4937-8E8B-ADA35F0674CA}"/>
              </c:ext>
            </c:extLst>
          </c:dPt>
          <c:dPt>
            <c:idx val="4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CFFCC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D93-4937-8E8B-ADA35F0674CA}"/>
              </c:ext>
            </c:extLst>
          </c:dPt>
          <c:dLbls>
            <c:dLbl>
              <c:idx val="0"/>
              <c:layout>
                <c:manualLayout>
                  <c:x val="-1.2516487778073595E-2"/>
                  <c:y val="-4.8298962629671288E-2"/>
                </c:manualLayout>
              </c:layout>
              <c:tx>
                <c:rich>
                  <a:bodyPr/>
                  <a:lstStyle/>
                  <a:p>
                    <a:fld id="{2AED9C37-9E35-4804-A650-11D6DEA2DA2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5,14%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93-4937-8E8B-ADA35F0674CA}"/>
                </c:ext>
              </c:extLst>
            </c:dLbl>
            <c:dLbl>
              <c:idx val="1"/>
              <c:layout>
                <c:manualLayout>
                  <c:x val="2.1575556876603948E-2"/>
                  <c:y val="1.3873682456359622E-2"/>
                </c:manualLayout>
              </c:layout>
              <c:tx>
                <c:rich>
                  <a:bodyPr/>
                  <a:lstStyle/>
                  <a:p>
                    <a:fld id="{9E424D5A-F85D-4A59-98E6-99D2421D2E43}" type="CATEGORYNAME">
                      <a:rPr lang="en-US"/>
                      <a:pPr/>
                      <a:t>[NOMBRE DE CATEGORÍA]</a:t>
                    </a:fld>
                    <a:r>
                      <a:rPr lang="en-US"/>
                      <a:t> </a:t>
                    </a:r>
                    <a:r>
                      <a:rPr lang="en-US" baseline="0"/>
                      <a:t>56,24%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93-4937-8E8B-ADA35F0674CA}"/>
                </c:ext>
              </c:extLst>
            </c:dLbl>
            <c:dLbl>
              <c:idx val="2"/>
              <c:layout>
                <c:manualLayout>
                  <c:x val="1.3025618208099162E-2"/>
                  <c:y val="-6.6841228179810863E-2"/>
                </c:manualLayout>
              </c:layout>
              <c:tx>
                <c:rich>
                  <a:bodyPr/>
                  <a:lstStyle/>
                  <a:p>
                    <a:fld id="{E6F874D6-D3EC-426C-BFC0-21AC688DD702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5,51%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D93-4937-8E8B-ADA35F0674C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93-4937-8E8B-ADA35F0674CA}"/>
                </c:ext>
              </c:extLst>
            </c:dLbl>
            <c:dLbl>
              <c:idx val="4"/>
              <c:layout>
                <c:manualLayout>
                  <c:x val="-3.2876842224272798E-2"/>
                  <c:y val="-3.08303128775569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Renta Variable</a:t>
                    </a:r>
                    <a:r>
                      <a:rPr lang="en-US" baseline="0"/>
                      <a:t>
33,11%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93-4937-8E8B-ADA35F0674C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D93-4937-8E8B-ADA35F0674CA}"/>
                </c:ext>
              </c:extLst>
            </c:dLbl>
            <c:dLbl>
              <c:idx val="6"/>
              <c:layout>
                <c:manualLayout>
                  <c:x val="-1.038102934890728E-2"/>
                  <c:y val="-6.276429217983851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93-4937-8E8B-ADA35F0674CA}"/>
                </c:ext>
              </c:extLst>
            </c:dLbl>
            <c:dLbl>
              <c:idx val="7"/>
              <c:layout>
                <c:manualLayout>
                  <c:x val="1.0834992417876492E-2"/>
                  <c:y val="-6.189233510142043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D93-4937-8E8B-ADA35F0674CA}"/>
                </c:ext>
              </c:extLst>
            </c:dLbl>
            <c:dLbl>
              <c:idx val="8"/>
              <c:layout>
                <c:manualLayout>
                  <c:x val="3.5897750882673975E-2"/>
                  <c:y val="-6.42261400934417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93-4937-8E8B-ADA35F0674CA}"/>
                </c:ext>
              </c:extLst>
            </c:dLbl>
            <c:dLbl>
              <c:idx val="9"/>
              <c:layout>
                <c:manualLayout>
                  <c:x val="5.3711076125942524E-2"/>
                  <c:y val="-6.531577672076448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D93-4937-8E8B-ADA35F0674CA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_tradn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Graficos!$J$3:$J$8</c:f>
              <c:strCache>
                <c:ptCount val="6"/>
                <c:pt idx="0">
                  <c:v>Liquidez</c:v>
                </c:pt>
                <c:pt idx="1">
                  <c:v>Bonos Fijos</c:v>
                </c:pt>
                <c:pt idx="2">
                  <c:v>Bonos Flotantes</c:v>
                </c:pt>
                <c:pt idx="3">
                  <c:v>Fondos Rf</c:v>
                </c:pt>
                <c:pt idx="4">
                  <c:v>Acciones</c:v>
                </c:pt>
                <c:pt idx="5">
                  <c:v>Fondos Rv</c:v>
                </c:pt>
              </c:strCache>
            </c:strRef>
          </c:cat>
          <c:val>
            <c:numRef>
              <c:f>Graficos!$K$3:$K$8</c:f>
              <c:numCache>
                <c:formatCode>#,##0</c:formatCode>
                <c:ptCount val="6"/>
                <c:pt idx="0">
                  <c:v>2424006.62</c:v>
                </c:pt>
                <c:pt idx="1">
                  <c:v>75015976.370000005</c:v>
                </c:pt>
                <c:pt idx="2">
                  <c:v>3128717.69</c:v>
                </c:pt>
                <c:pt idx="3">
                  <c:v>0</c:v>
                </c:pt>
                <c:pt idx="4">
                  <c:v>21380733.392723098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D93-4937-8E8B-ADA35F0674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_tradn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Manzano Lavelle</dc:creator>
  <cp:keywords/>
  <dc:description/>
  <cp:lastModifiedBy>Ignacio Martin Ocaña</cp:lastModifiedBy>
  <cp:revision>2</cp:revision>
  <cp:lastPrinted>2021-12-27T10:13:00Z</cp:lastPrinted>
  <dcterms:created xsi:type="dcterms:W3CDTF">2022-03-29T08:44:00Z</dcterms:created>
  <dcterms:modified xsi:type="dcterms:W3CDTF">2022-03-29T08:44:00Z</dcterms:modified>
</cp:coreProperties>
</file>