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59A6" w14:textId="77777777" w:rsidR="00DE3E32" w:rsidRPr="004A5E5E" w:rsidRDefault="00DE3E32" w:rsidP="008F688B">
      <w:pPr>
        <w:spacing w:line="240" w:lineRule="auto"/>
        <w:jc w:val="both"/>
        <w:rPr>
          <w:rFonts w:ascii="Arial" w:hAnsi="Arial" w:cs="Arial"/>
          <w:b/>
          <w:bCs/>
          <w:u w:val="single"/>
          <w:lang w:val="es-ES"/>
        </w:rPr>
      </w:pPr>
      <w:r w:rsidRPr="004A5E5E">
        <w:rPr>
          <w:rFonts w:ascii="Arial" w:hAnsi="Arial" w:cs="Arial"/>
          <w:b/>
          <w:bCs/>
          <w:u w:val="single"/>
          <w:lang w:val="es-ES"/>
        </w:rPr>
        <w:t xml:space="preserve">Declaración Comprensiva </w:t>
      </w:r>
      <w:r w:rsidR="008F688B" w:rsidRPr="004A5E5E">
        <w:rPr>
          <w:rFonts w:ascii="Arial" w:hAnsi="Arial" w:cs="Arial"/>
          <w:b/>
          <w:bCs/>
          <w:u w:val="single"/>
          <w:lang w:val="es-ES"/>
        </w:rPr>
        <w:t>Política de Implicación a Largo Plazo</w:t>
      </w:r>
      <w:r w:rsidRPr="004A5E5E">
        <w:rPr>
          <w:rFonts w:ascii="Arial" w:hAnsi="Arial" w:cs="Arial"/>
          <w:b/>
          <w:bCs/>
          <w:u w:val="single"/>
          <w:lang w:val="es-ES"/>
        </w:rPr>
        <w:t>:</w:t>
      </w:r>
    </w:p>
    <w:p w14:paraId="08DC9481" w14:textId="19F6549B" w:rsidR="008F688B" w:rsidRDefault="00E33A84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bCs/>
          <w:u w:val="single"/>
          <w:lang w:val="es-ES"/>
        </w:rPr>
        <w:t>Fonduero Entidades FP</w:t>
      </w:r>
      <w:r w:rsidR="00DE3E32" w:rsidRPr="004A5E5E">
        <w:rPr>
          <w:rFonts w:ascii="Arial" w:hAnsi="Arial" w:cs="Arial"/>
          <w:b/>
          <w:bCs/>
          <w:u w:val="single"/>
          <w:lang w:val="es-ES"/>
        </w:rPr>
        <w:t>: Año 202</w:t>
      </w:r>
      <w:r w:rsidR="00D8322D">
        <w:rPr>
          <w:rFonts w:ascii="Arial" w:hAnsi="Arial" w:cs="Arial"/>
          <w:b/>
          <w:bCs/>
          <w:u w:val="single"/>
          <w:lang w:val="es-ES"/>
        </w:rPr>
        <w:t>1</w:t>
      </w:r>
    </w:p>
    <w:p w14:paraId="595F61CE" w14:textId="7805FD90" w:rsidR="00DE3E32" w:rsidRPr="00EB0376" w:rsidRDefault="00DE3E32" w:rsidP="00DD3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EB0376">
        <w:rPr>
          <w:rFonts w:ascii="Arial" w:hAnsi="Arial" w:cs="Arial"/>
          <w:b/>
          <w:bCs/>
          <w:lang w:val="es-ES"/>
        </w:rPr>
        <w:t>Ejercicio de los Derechos de Voto</w:t>
      </w:r>
    </w:p>
    <w:p w14:paraId="3FC657D8" w14:textId="02C0528B" w:rsidR="00EB0376" w:rsidRDefault="00EC472E" w:rsidP="00DE3E32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DE3E32">
        <w:rPr>
          <w:rFonts w:ascii="Arial" w:hAnsi="Arial" w:cs="Arial"/>
          <w:bCs/>
          <w:lang w:val="es-ES"/>
        </w:rPr>
        <w:t>Durante el ejercicio 202</w:t>
      </w:r>
      <w:r w:rsidR="00D8322D">
        <w:rPr>
          <w:rFonts w:ascii="Arial" w:hAnsi="Arial" w:cs="Arial"/>
          <w:bCs/>
          <w:lang w:val="es-ES"/>
        </w:rPr>
        <w:t>1</w:t>
      </w:r>
      <w:r w:rsidRPr="00DE3E32">
        <w:rPr>
          <w:rFonts w:ascii="Arial" w:hAnsi="Arial" w:cs="Arial"/>
          <w:bCs/>
          <w:lang w:val="es-ES"/>
        </w:rPr>
        <w:t xml:space="preserve"> se ejerció el derecho a voto en la mayoría de las compañías que conformaban la cartera, </w:t>
      </w:r>
      <w:r w:rsidR="00EB0376">
        <w:rPr>
          <w:rFonts w:ascii="Arial" w:hAnsi="Arial" w:cs="Arial"/>
          <w:bCs/>
          <w:lang w:val="es-ES"/>
        </w:rPr>
        <w:t xml:space="preserve">bien </w:t>
      </w:r>
      <w:r w:rsidRPr="00DE3E32">
        <w:rPr>
          <w:rFonts w:ascii="Arial" w:hAnsi="Arial" w:cs="Arial"/>
          <w:bCs/>
          <w:lang w:val="es-ES"/>
        </w:rPr>
        <w:t xml:space="preserve">delegándolo o </w:t>
      </w:r>
      <w:r w:rsidR="00EB0376">
        <w:rPr>
          <w:rFonts w:ascii="Arial" w:hAnsi="Arial" w:cs="Arial"/>
          <w:bCs/>
          <w:lang w:val="es-ES"/>
        </w:rPr>
        <w:t xml:space="preserve">bien </w:t>
      </w:r>
      <w:r w:rsidRPr="00DE3E32">
        <w:rPr>
          <w:rFonts w:ascii="Arial" w:hAnsi="Arial" w:cs="Arial"/>
          <w:bCs/>
          <w:lang w:val="es-ES"/>
        </w:rPr>
        <w:t>ejerciéndolo de manera directa. En todos los casos, se utilizó el criterio exclusivo del equipo gestor, sin acudir a asesores externos</w:t>
      </w:r>
      <w:r w:rsidR="00EB0376">
        <w:rPr>
          <w:rFonts w:ascii="Arial" w:hAnsi="Arial" w:cs="Arial"/>
          <w:bCs/>
          <w:lang w:val="es-ES"/>
        </w:rPr>
        <w:t xml:space="preserve">. </w:t>
      </w:r>
      <w:r w:rsidRPr="00DE3E32">
        <w:rPr>
          <w:rFonts w:ascii="Arial" w:hAnsi="Arial" w:cs="Arial"/>
          <w:bCs/>
          <w:lang w:val="es-ES"/>
        </w:rPr>
        <w:t xml:space="preserve">No surgieron conflictos de interés en el periodo. </w:t>
      </w:r>
    </w:p>
    <w:p w14:paraId="16B03979" w14:textId="77777777" w:rsidR="00D8322D" w:rsidRDefault="00D8322D" w:rsidP="00D8322D">
      <w:pPr>
        <w:pStyle w:val="Prrafodelista"/>
        <w:spacing w:line="240" w:lineRule="auto"/>
        <w:ind w:left="360"/>
        <w:jc w:val="both"/>
        <w:rPr>
          <w:rFonts w:ascii="Arial" w:hAnsi="Arial" w:cs="Arial"/>
          <w:b/>
          <w:bCs/>
          <w:lang w:val="es-ES"/>
        </w:rPr>
      </w:pPr>
    </w:p>
    <w:p w14:paraId="44B8A401" w14:textId="3B0DACF0" w:rsidR="00EB0376" w:rsidRPr="00EB0376" w:rsidRDefault="00EB0376" w:rsidP="00EB037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EB0376">
        <w:rPr>
          <w:rFonts w:ascii="Arial" w:hAnsi="Arial" w:cs="Arial"/>
          <w:b/>
          <w:bCs/>
          <w:lang w:val="es-ES"/>
        </w:rPr>
        <w:t>Principales Riesgos a medio y largo plazo asociados a las Inversiones</w:t>
      </w:r>
    </w:p>
    <w:p w14:paraId="536E48C6" w14:textId="1FA57AB9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La distribución por edades del colectivo de partícipes y beneficiarios determina el perfil y la duración de los pasivos a largo plazo del Fondo de Pensiones. En este sentido, el Fondo de Pensiones se encuentra clasificado como Renta </w:t>
      </w:r>
      <w:r w:rsidR="00E33A84">
        <w:rPr>
          <w:rFonts w:ascii="Arial" w:hAnsi="Arial" w:cs="Arial"/>
          <w:bCs/>
          <w:lang w:val="es-ES"/>
        </w:rPr>
        <w:t>Variable</w:t>
      </w:r>
      <w:r>
        <w:rPr>
          <w:rFonts w:ascii="Arial" w:hAnsi="Arial" w:cs="Arial"/>
          <w:bCs/>
          <w:lang w:val="es-ES"/>
        </w:rPr>
        <w:t xml:space="preserve"> Mixta, esto supone </w:t>
      </w:r>
      <w:r w:rsidR="00220C08">
        <w:rPr>
          <w:rFonts w:ascii="Arial" w:hAnsi="Arial" w:cs="Arial"/>
          <w:bCs/>
          <w:lang w:val="es-ES"/>
        </w:rPr>
        <w:t xml:space="preserve">una orientación inversora caracterizada por </w:t>
      </w:r>
      <w:r>
        <w:rPr>
          <w:rFonts w:ascii="Arial" w:hAnsi="Arial" w:cs="Arial"/>
          <w:bCs/>
          <w:lang w:val="es-ES"/>
        </w:rPr>
        <w:t xml:space="preserve">un máximo del </w:t>
      </w:r>
      <w:r w:rsidR="00D8322D">
        <w:rPr>
          <w:rFonts w:ascii="Arial" w:hAnsi="Arial" w:cs="Arial"/>
          <w:bCs/>
          <w:lang w:val="es-ES"/>
        </w:rPr>
        <w:t>50</w:t>
      </w:r>
      <w:r>
        <w:rPr>
          <w:rFonts w:ascii="Arial" w:hAnsi="Arial" w:cs="Arial"/>
          <w:bCs/>
          <w:lang w:val="es-ES"/>
        </w:rPr>
        <w:t xml:space="preserve">% del patrimonio en activos de </w:t>
      </w:r>
      <w:r w:rsidR="00220C08">
        <w:rPr>
          <w:rFonts w:ascii="Arial" w:hAnsi="Arial" w:cs="Arial"/>
          <w:bCs/>
          <w:lang w:val="es-ES"/>
        </w:rPr>
        <w:t>R</w:t>
      </w:r>
      <w:r>
        <w:rPr>
          <w:rFonts w:ascii="Arial" w:hAnsi="Arial" w:cs="Arial"/>
          <w:bCs/>
          <w:lang w:val="es-ES"/>
        </w:rPr>
        <w:t xml:space="preserve">enta </w:t>
      </w:r>
      <w:r w:rsidR="00220C08">
        <w:rPr>
          <w:rFonts w:ascii="Arial" w:hAnsi="Arial" w:cs="Arial"/>
          <w:bCs/>
          <w:lang w:val="es-ES"/>
        </w:rPr>
        <w:t>V</w:t>
      </w:r>
      <w:r>
        <w:rPr>
          <w:rFonts w:ascii="Arial" w:hAnsi="Arial" w:cs="Arial"/>
          <w:bCs/>
          <w:lang w:val="es-ES"/>
        </w:rPr>
        <w:t>ariable</w:t>
      </w:r>
      <w:r w:rsidR="00220C08">
        <w:rPr>
          <w:rFonts w:ascii="Arial" w:hAnsi="Arial" w:cs="Arial"/>
          <w:bCs/>
          <w:lang w:val="es-ES"/>
        </w:rPr>
        <w:t>.</w:t>
      </w:r>
    </w:p>
    <w:p w14:paraId="45F87C59" w14:textId="2F11A832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EB0376">
        <w:rPr>
          <w:rFonts w:ascii="Arial" w:hAnsi="Arial" w:cs="Arial"/>
          <w:bCs/>
          <w:lang w:val="es-ES"/>
        </w:rPr>
        <w:t xml:space="preserve">Los principios que subyacen en la estrategia de inversión del Fondo se resumen a continuación y estarán invertidos de acuerdo con criterios de seguridad, rentabilidad, diversificación, dispersión, liquidez, congruencia monetaria y de plazos adecuados a sus finalidades: </w:t>
      </w:r>
    </w:p>
    <w:p w14:paraId="5B777C1C" w14:textId="6AD5E03C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C</w:t>
      </w:r>
      <w:r w:rsidR="00EB0376" w:rsidRPr="00EB0376">
        <w:rPr>
          <w:rFonts w:ascii="Arial" w:hAnsi="Arial" w:cs="Arial"/>
          <w:bCs/>
          <w:lang w:val="es-ES"/>
        </w:rPr>
        <w:t>riterios de diversificación: Las inversiones estarán diversificadas dentro de cada</w:t>
      </w:r>
      <w:r>
        <w:rPr>
          <w:rFonts w:ascii="Arial" w:hAnsi="Arial" w:cs="Arial"/>
          <w:bCs/>
          <w:lang w:val="es-ES"/>
        </w:rPr>
        <w:t xml:space="preserve"> </w:t>
      </w:r>
      <w:r w:rsidR="00EB0376" w:rsidRPr="00EB0376">
        <w:rPr>
          <w:rFonts w:ascii="Arial" w:hAnsi="Arial" w:cs="Arial"/>
          <w:bCs/>
          <w:lang w:val="es-ES"/>
        </w:rPr>
        <w:t>tipo de activo, con el objetivo de minimizar el riesgo resultante de concentraciones inusuales en determinadas emisiones, empresas, industrias, plazos o zonas geográficas.</w:t>
      </w:r>
    </w:p>
    <w:p w14:paraId="1E6F4AE2" w14:textId="50CF536A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C</w:t>
      </w:r>
      <w:r w:rsidR="00EB0376" w:rsidRPr="00EB0376">
        <w:rPr>
          <w:rFonts w:ascii="Arial" w:hAnsi="Arial" w:cs="Arial"/>
          <w:bCs/>
          <w:lang w:val="es-ES"/>
        </w:rPr>
        <w:t>riterios de gestión a largo plazo: La gestión del fondo tiene un carácter de largo plazo y por tanto las compras de activos se realizan con esta visión de permanencia en cartera. Este carácter de inversión permite asumir los riesgos de iliquidez y volatilidad de determinados tipos de activos para conseguir sus primas de rentabilidad correspondientes.</w:t>
      </w:r>
    </w:p>
    <w:p w14:paraId="04A480C6" w14:textId="013010C0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EB0376">
        <w:rPr>
          <w:rFonts w:ascii="Arial" w:hAnsi="Arial" w:cs="Arial"/>
          <w:bCs/>
          <w:lang w:val="es-ES"/>
        </w:rPr>
        <w:t>Estilo de gestión: El estilo de gestión de la cartera es definido como criterio de gestión activa y se materializa de forma directa mediante</w:t>
      </w:r>
      <w:r w:rsidR="00FD1BBB">
        <w:rPr>
          <w:rFonts w:ascii="Arial" w:hAnsi="Arial" w:cs="Arial"/>
          <w:bCs/>
          <w:lang w:val="es-ES"/>
        </w:rPr>
        <w:t xml:space="preserve"> l</w:t>
      </w:r>
      <w:r w:rsidRPr="00EB0376">
        <w:rPr>
          <w:rFonts w:ascii="Arial" w:hAnsi="Arial" w:cs="Arial"/>
          <w:bCs/>
          <w:lang w:val="es-ES"/>
        </w:rPr>
        <w:t xml:space="preserve">a incorporación </w:t>
      </w:r>
      <w:r w:rsidR="00FD1BBB">
        <w:rPr>
          <w:rFonts w:ascii="Arial" w:hAnsi="Arial" w:cs="Arial"/>
          <w:bCs/>
          <w:lang w:val="es-ES"/>
        </w:rPr>
        <w:t xml:space="preserve">de una </w:t>
      </w:r>
      <w:r w:rsidRPr="00EB0376">
        <w:rPr>
          <w:rFonts w:ascii="Arial" w:hAnsi="Arial" w:cs="Arial"/>
          <w:bCs/>
          <w:lang w:val="es-ES"/>
        </w:rPr>
        <w:t xml:space="preserve">cartera de valores o de forma indirecta mediante </w:t>
      </w:r>
      <w:r w:rsidR="00FD1BBB">
        <w:rPr>
          <w:rFonts w:ascii="Arial" w:hAnsi="Arial" w:cs="Arial"/>
          <w:bCs/>
          <w:lang w:val="es-ES"/>
        </w:rPr>
        <w:t xml:space="preserve">una cartera de </w:t>
      </w:r>
      <w:r w:rsidRPr="00EB0376">
        <w:rPr>
          <w:rFonts w:ascii="Arial" w:hAnsi="Arial" w:cs="Arial"/>
          <w:bCs/>
          <w:lang w:val="es-ES"/>
        </w:rPr>
        <w:t>fondos de inversión</w:t>
      </w:r>
      <w:r w:rsidR="00FD1BBB">
        <w:rPr>
          <w:rFonts w:ascii="Arial" w:hAnsi="Arial" w:cs="Arial"/>
          <w:bCs/>
          <w:lang w:val="es-ES"/>
        </w:rPr>
        <w:t>.</w:t>
      </w:r>
    </w:p>
    <w:p w14:paraId="60BB015C" w14:textId="1B570C16" w:rsidR="00FD1BBB" w:rsidRDefault="00FD1BBB" w:rsidP="00FD1BB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El Fondo de Pensiones no garantiza la rentabilidad de las aportaciones realizadas y por tanto los partícipes y beneficiarios asumen el riesgo de inversión.</w:t>
      </w:r>
      <w:r w:rsidRPr="00FD1BBB">
        <w:rPr>
          <w:rFonts w:ascii="Arial" w:hAnsi="Arial" w:cs="Arial"/>
          <w:bCs/>
          <w:lang w:val="es-ES"/>
        </w:rPr>
        <w:t xml:space="preserve"> Los riesgos financieros comprenden, entre otros, los riesgos de mercado, de crédito, de liquidez y de contrapartida y los riesgos operativos de las entidades gestoras y depositarlas, pudiendo provocar en determinados momentos rentabilidades negativas</w:t>
      </w:r>
      <w:r>
        <w:rPr>
          <w:rFonts w:ascii="Arial" w:hAnsi="Arial" w:cs="Arial"/>
          <w:bCs/>
          <w:lang w:val="es-ES"/>
        </w:rPr>
        <w:t xml:space="preserve"> en </w:t>
      </w:r>
      <w:r w:rsidRPr="00FD1BBB">
        <w:rPr>
          <w:rFonts w:ascii="Arial" w:hAnsi="Arial" w:cs="Arial"/>
          <w:bCs/>
          <w:lang w:val="es-ES"/>
        </w:rPr>
        <w:t>el Fondo de Pensiones. La Comisión de Control</w:t>
      </w:r>
      <w:r>
        <w:rPr>
          <w:rFonts w:ascii="Arial" w:hAnsi="Arial" w:cs="Arial"/>
          <w:bCs/>
          <w:lang w:val="es-ES"/>
        </w:rPr>
        <w:t>,</w:t>
      </w:r>
      <w:r w:rsidRPr="00FD1BBB">
        <w:rPr>
          <w:rFonts w:ascii="Arial" w:hAnsi="Arial" w:cs="Arial"/>
          <w:bCs/>
          <w:lang w:val="es-ES"/>
        </w:rPr>
        <w:t xml:space="preserve"> en su normal funcionamiento, realiza el control y seguimiento de los riesgos de las inversiones teniendo en cuenta las disposiciones de la declaración de la política de inversión del Fondo de Pensiones para su control y gestión</w:t>
      </w:r>
      <w:r>
        <w:rPr>
          <w:rFonts w:ascii="Arial" w:hAnsi="Arial" w:cs="Arial"/>
          <w:bCs/>
          <w:lang w:val="es-ES"/>
        </w:rPr>
        <w:t>.</w:t>
      </w:r>
    </w:p>
    <w:p w14:paraId="2B44BF31" w14:textId="076783DC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293A4638" w14:textId="054CC9D2" w:rsidR="00FD1BBB" w:rsidRPr="00FD1BBB" w:rsidRDefault="00FD1BBB" w:rsidP="00FD1BB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FD1BBB">
        <w:rPr>
          <w:rFonts w:ascii="Arial" w:hAnsi="Arial" w:cs="Arial"/>
          <w:b/>
          <w:bCs/>
          <w:lang w:val="es-ES"/>
        </w:rPr>
        <w:t>Colocación Estratégica de Activos y Composición de la Cartera</w:t>
      </w:r>
    </w:p>
    <w:p w14:paraId="60C6DCE9" w14:textId="4815D306" w:rsidR="00FD1BBB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71E70D7B" w14:textId="4D468E10" w:rsidR="00220C08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FD1BBB">
        <w:rPr>
          <w:rFonts w:ascii="Arial" w:hAnsi="Arial" w:cs="Arial"/>
          <w:bCs/>
          <w:lang w:val="es-ES"/>
        </w:rPr>
        <w:t>Los activos del Fondo de Pensiones se invertirán mayoritariamente en mercados regulados y principalmente, en activos de renta fija</w:t>
      </w:r>
      <w:r>
        <w:rPr>
          <w:rFonts w:ascii="Arial" w:hAnsi="Arial" w:cs="Arial"/>
          <w:bCs/>
          <w:lang w:val="es-ES"/>
        </w:rPr>
        <w:t xml:space="preserve"> y</w:t>
      </w:r>
      <w:r w:rsidRPr="00FD1BBB">
        <w:rPr>
          <w:rFonts w:ascii="Arial" w:hAnsi="Arial" w:cs="Arial"/>
          <w:bCs/>
          <w:lang w:val="es-ES"/>
        </w:rPr>
        <w:t xml:space="preserve"> renta variable</w:t>
      </w:r>
      <w:r>
        <w:rPr>
          <w:rFonts w:ascii="Arial" w:hAnsi="Arial" w:cs="Arial"/>
          <w:bCs/>
          <w:lang w:val="es-ES"/>
        </w:rPr>
        <w:t>.</w:t>
      </w:r>
      <w:r w:rsidR="004A5E5E">
        <w:rPr>
          <w:rFonts w:ascii="Arial" w:hAnsi="Arial" w:cs="Arial"/>
          <w:bCs/>
          <w:lang w:val="es-ES"/>
        </w:rPr>
        <w:t xml:space="preserve"> T</w:t>
      </w:r>
      <w:r w:rsidRPr="00FD1BBB">
        <w:rPr>
          <w:rFonts w:ascii="Arial" w:hAnsi="Arial" w:cs="Arial"/>
          <w:bCs/>
          <w:lang w:val="es-ES"/>
        </w:rPr>
        <w:t xml:space="preserve">odos los tipos de activo del </w:t>
      </w:r>
      <w:r w:rsidR="00220C08">
        <w:rPr>
          <w:rFonts w:ascii="Arial" w:hAnsi="Arial" w:cs="Arial"/>
          <w:bCs/>
          <w:lang w:val="es-ES"/>
        </w:rPr>
        <w:t>F</w:t>
      </w:r>
      <w:r w:rsidRPr="00FD1BBB">
        <w:rPr>
          <w:rFonts w:ascii="Arial" w:hAnsi="Arial" w:cs="Arial"/>
          <w:bCs/>
          <w:lang w:val="es-ES"/>
        </w:rPr>
        <w:t>ondo tienen vocación de acuerdo con el objetivo de largo plazo</w:t>
      </w:r>
      <w:r w:rsidR="00220C08">
        <w:rPr>
          <w:rFonts w:ascii="Arial" w:hAnsi="Arial" w:cs="Arial"/>
          <w:bCs/>
          <w:lang w:val="es-ES"/>
        </w:rPr>
        <w:t>, en el caso de</w:t>
      </w:r>
      <w:r w:rsidRPr="00FD1BBB">
        <w:rPr>
          <w:rFonts w:ascii="Arial" w:hAnsi="Arial" w:cs="Arial"/>
          <w:bCs/>
          <w:lang w:val="es-ES"/>
        </w:rPr>
        <w:t xml:space="preserve"> </w:t>
      </w:r>
      <w:r w:rsidR="00220C08">
        <w:rPr>
          <w:rFonts w:ascii="Arial" w:hAnsi="Arial" w:cs="Arial"/>
          <w:bCs/>
          <w:lang w:val="es-ES"/>
        </w:rPr>
        <w:t>la R</w:t>
      </w:r>
      <w:r w:rsidRPr="00FD1BBB">
        <w:rPr>
          <w:rFonts w:ascii="Arial" w:hAnsi="Arial" w:cs="Arial"/>
          <w:bCs/>
          <w:lang w:val="es-ES"/>
        </w:rPr>
        <w:t xml:space="preserve">enta </w:t>
      </w:r>
      <w:r w:rsidR="00220C08">
        <w:rPr>
          <w:rFonts w:ascii="Arial" w:hAnsi="Arial" w:cs="Arial"/>
          <w:bCs/>
          <w:lang w:val="es-ES"/>
        </w:rPr>
        <w:t>V</w:t>
      </w:r>
      <w:r w:rsidRPr="00FD1BBB">
        <w:rPr>
          <w:rFonts w:ascii="Arial" w:hAnsi="Arial" w:cs="Arial"/>
          <w:bCs/>
          <w:lang w:val="es-ES"/>
        </w:rPr>
        <w:t xml:space="preserve">ariable </w:t>
      </w:r>
      <w:r w:rsidR="00220C08">
        <w:rPr>
          <w:rFonts w:ascii="Arial" w:hAnsi="Arial" w:cs="Arial"/>
          <w:bCs/>
          <w:lang w:val="es-ES"/>
        </w:rPr>
        <w:t xml:space="preserve">con un enfoque </w:t>
      </w:r>
      <w:r w:rsidRPr="00FD1BBB">
        <w:rPr>
          <w:rFonts w:ascii="Arial" w:hAnsi="Arial" w:cs="Arial"/>
          <w:bCs/>
          <w:lang w:val="es-ES"/>
        </w:rPr>
        <w:t xml:space="preserve">global </w:t>
      </w:r>
      <w:r w:rsidR="00220C08">
        <w:rPr>
          <w:rFonts w:ascii="Arial" w:hAnsi="Arial" w:cs="Arial"/>
          <w:bCs/>
          <w:lang w:val="es-ES"/>
        </w:rPr>
        <w:t xml:space="preserve">ya sea en directo a través de acciones o de manera indirecta a través de </w:t>
      </w:r>
      <w:r w:rsidRPr="00FD1BBB">
        <w:rPr>
          <w:rFonts w:ascii="Arial" w:hAnsi="Arial" w:cs="Arial"/>
          <w:bCs/>
          <w:lang w:val="es-ES"/>
        </w:rPr>
        <w:t>participaciones en instituciones de inversión colectiva</w:t>
      </w:r>
      <w:r w:rsidR="00220C08">
        <w:rPr>
          <w:rFonts w:ascii="Arial" w:hAnsi="Arial" w:cs="Arial"/>
          <w:bCs/>
          <w:lang w:val="es-ES"/>
        </w:rPr>
        <w:t>,</w:t>
      </w:r>
      <w:r w:rsidRPr="00FD1BBB">
        <w:rPr>
          <w:rFonts w:ascii="Arial" w:hAnsi="Arial" w:cs="Arial"/>
          <w:bCs/>
          <w:lang w:val="es-ES"/>
        </w:rPr>
        <w:t xml:space="preserve"> para contribuir a la consecución del objetivo de rentabilidad a largo plazo del Fondo de Pensiones</w:t>
      </w:r>
      <w:r w:rsidR="00220C08">
        <w:rPr>
          <w:rFonts w:ascii="Arial" w:hAnsi="Arial" w:cs="Arial"/>
          <w:bCs/>
          <w:lang w:val="es-ES"/>
        </w:rPr>
        <w:t>.</w:t>
      </w:r>
    </w:p>
    <w:p w14:paraId="084D7B1A" w14:textId="26C4D3B5" w:rsidR="00FD1BBB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FD1BBB">
        <w:rPr>
          <w:rFonts w:ascii="Arial" w:hAnsi="Arial" w:cs="Arial"/>
          <w:bCs/>
          <w:lang w:val="es-ES"/>
        </w:rPr>
        <w:t>Esta estrategia escogida ha de permitir obtener una rentabilidad a largo plazo y sostenida en el tiempo que supere al IPC anual (Índice de Precios al Consumo general español), debiendo entenderse esta referencia como un indicativo de la estrategia a largo plazo, sin que, en ningún caso, pueda ser interpretado como garantía o compromiso colectivo o individual para partícipes y beneficiarios.</w:t>
      </w:r>
    </w:p>
    <w:p w14:paraId="0F8ED6D7" w14:textId="4119CBCB" w:rsidR="004A5E5E" w:rsidRDefault="004A5E5E" w:rsidP="004A5E5E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lastRenderedPageBreak/>
        <w:t>A cierre del ejercicio 202</w:t>
      </w:r>
      <w:r w:rsidR="00D8322D">
        <w:rPr>
          <w:rFonts w:ascii="Arial" w:hAnsi="Arial" w:cs="Arial"/>
          <w:bCs/>
          <w:lang w:val="es-ES"/>
        </w:rPr>
        <w:t>1</w:t>
      </w:r>
      <w:r>
        <w:rPr>
          <w:rFonts w:ascii="Arial" w:hAnsi="Arial" w:cs="Arial"/>
          <w:bCs/>
          <w:lang w:val="es-ES"/>
        </w:rPr>
        <w:t xml:space="preserve">, la valoración a contado de la cartera de inversiones del Fondo de Pensiones era de </w:t>
      </w:r>
      <w:r w:rsidR="00E33A84">
        <w:rPr>
          <w:rFonts w:ascii="Arial" w:hAnsi="Arial" w:cs="Arial"/>
          <w:bCs/>
          <w:lang w:val="es-ES"/>
        </w:rPr>
        <w:t>9,</w:t>
      </w:r>
      <w:r w:rsidR="00D8322D">
        <w:rPr>
          <w:rFonts w:ascii="Arial" w:hAnsi="Arial" w:cs="Arial"/>
          <w:bCs/>
          <w:lang w:val="es-ES"/>
        </w:rPr>
        <w:t>77</w:t>
      </w:r>
      <w:r>
        <w:rPr>
          <w:rFonts w:ascii="Arial" w:hAnsi="Arial" w:cs="Arial"/>
          <w:bCs/>
          <w:lang w:val="es-ES"/>
        </w:rPr>
        <w:t xml:space="preserve"> Millones de Euros. La estructura de inversiones estaba repartida en un </w:t>
      </w:r>
      <w:r w:rsidR="00E33A84">
        <w:rPr>
          <w:rFonts w:ascii="Arial" w:hAnsi="Arial" w:cs="Arial"/>
          <w:bCs/>
          <w:lang w:val="es-ES"/>
        </w:rPr>
        <w:t>4</w:t>
      </w:r>
      <w:r w:rsidR="00D8322D">
        <w:rPr>
          <w:rFonts w:ascii="Arial" w:hAnsi="Arial" w:cs="Arial"/>
          <w:bCs/>
          <w:lang w:val="es-ES"/>
        </w:rPr>
        <w:t>7,62</w:t>
      </w:r>
      <w:r>
        <w:rPr>
          <w:rFonts w:ascii="Arial" w:hAnsi="Arial" w:cs="Arial"/>
          <w:bCs/>
          <w:lang w:val="es-ES"/>
        </w:rPr>
        <w:t>% de renta fija</w:t>
      </w:r>
      <w:r w:rsidR="00766E9C">
        <w:rPr>
          <w:rFonts w:ascii="Arial" w:hAnsi="Arial" w:cs="Arial"/>
          <w:bCs/>
          <w:lang w:val="es-ES"/>
        </w:rPr>
        <w:t xml:space="preserve">, </w:t>
      </w:r>
      <w:r>
        <w:rPr>
          <w:rFonts w:ascii="Arial" w:hAnsi="Arial" w:cs="Arial"/>
          <w:bCs/>
          <w:lang w:val="es-ES"/>
        </w:rPr>
        <w:t xml:space="preserve">un </w:t>
      </w:r>
      <w:r w:rsidR="00D8322D">
        <w:rPr>
          <w:rFonts w:ascii="Arial" w:hAnsi="Arial" w:cs="Arial"/>
          <w:bCs/>
          <w:lang w:val="es-ES"/>
        </w:rPr>
        <w:t>41,19</w:t>
      </w:r>
      <w:r>
        <w:rPr>
          <w:rFonts w:ascii="Arial" w:hAnsi="Arial" w:cs="Arial"/>
          <w:bCs/>
          <w:lang w:val="es-ES"/>
        </w:rPr>
        <w:t xml:space="preserve">% </w:t>
      </w:r>
      <w:r w:rsidR="00766E9C">
        <w:rPr>
          <w:rFonts w:ascii="Arial" w:hAnsi="Arial" w:cs="Arial"/>
          <w:bCs/>
          <w:lang w:val="es-ES"/>
        </w:rPr>
        <w:t>de</w:t>
      </w:r>
      <w:r>
        <w:rPr>
          <w:rFonts w:ascii="Arial" w:hAnsi="Arial" w:cs="Arial"/>
          <w:bCs/>
          <w:lang w:val="es-ES"/>
        </w:rPr>
        <w:t xml:space="preserve"> renta variable</w:t>
      </w:r>
      <w:r w:rsidR="00766E9C">
        <w:rPr>
          <w:rFonts w:ascii="Arial" w:hAnsi="Arial" w:cs="Arial"/>
          <w:bCs/>
          <w:lang w:val="es-ES"/>
        </w:rPr>
        <w:t xml:space="preserve">, un </w:t>
      </w:r>
      <w:r w:rsidR="00E33A84">
        <w:rPr>
          <w:rFonts w:ascii="Arial" w:hAnsi="Arial" w:cs="Arial"/>
          <w:bCs/>
          <w:lang w:val="es-ES"/>
        </w:rPr>
        <w:t>2,</w:t>
      </w:r>
      <w:r w:rsidR="00D8322D">
        <w:rPr>
          <w:rFonts w:ascii="Arial" w:hAnsi="Arial" w:cs="Arial"/>
          <w:bCs/>
          <w:lang w:val="es-ES"/>
        </w:rPr>
        <w:t>53</w:t>
      </w:r>
      <w:r w:rsidR="00766E9C">
        <w:rPr>
          <w:rFonts w:ascii="Arial" w:hAnsi="Arial" w:cs="Arial"/>
          <w:bCs/>
          <w:lang w:val="es-ES"/>
        </w:rPr>
        <w:t xml:space="preserve">% en otros activos alternativos y un </w:t>
      </w:r>
      <w:r w:rsidR="00D8322D">
        <w:rPr>
          <w:rFonts w:ascii="Arial" w:hAnsi="Arial" w:cs="Arial"/>
          <w:bCs/>
          <w:lang w:val="es-ES"/>
        </w:rPr>
        <w:t>8,66</w:t>
      </w:r>
      <w:r w:rsidR="00766E9C">
        <w:rPr>
          <w:rFonts w:ascii="Arial" w:hAnsi="Arial" w:cs="Arial"/>
          <w:bCs/>
          <w:lang w:val="es-ES"/>
        </w:rPr>
        <w:t>% de liquidez</w:t>
      </w:r>
      <w:r w:rsidR="00E33A84">
        <w:rPr>
          <w:rFonts w:ascii="Arial" w:hAnsi="Arial" w:cs="Arial"/>
          <w:bCs/>
          <w:lang w:val="es-ES"/>
        </w:rPr>
        <w:t>:</w:t>
      </w:r>
    </w:p>
    <w:p w14:paraId="67FA7CB3" w14:textId="77777777" w:rsidR="004A5E5E" w:rsidRDefault="004A5E5E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62620D3A" w14:textId="53AAE4E9" w:rsidR="00220C08" w:rsidRDefault="00220C08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7D8F2B39" w14:textId="7F57010B" w:rsidR="00220C08" w:rsidRPr="00FD1BBB" w:rsidRDefault="00220C08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335889">
        <w:rPr>
          <w:noProof/>
        </w:rPr>
        <w:drawing>
          <wp:anchor distT="0" distB="0" distL="114300" distR="114300" simplePos="0" relativeHeight="251658240" behindDoc="0" locked="0" layoutInCell="1" allowOverlap="1" wp14:anchorId="787A1DEB" wp14:editId="6941CB25">
            <wp:simplePos x="0" y="0"/>
            <wp:positionH relativeFrom="column">
              <wp:posOffset>766445</wp:posOffset>
            </wp:positionH>
            <wp:positionV relativeFrom="paragraph">
              <wp:posOffset>210820</wp:posOffset>
            </wp:positionV>
            <wp:extent cx="4046220" cy="2322195"/>
            <wp:effectExtent l="0" t="0" r="11430" b="1905"/>
            <wp:wrapSquare wrapText="bothSides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2EBF1" w14:textId="75D4BA96" w:rsidR="0052307E" w:rsidRDefault="0052307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7D070D71" w14:textId="129B991F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764DF17B" w14:textId="2735F6DE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5C4C6DCD" w14:textId="7B1D326D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2A248173" w14:textId="5586EA60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33DA374C" w14:textId="558830F4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64CAF261" w14:textId="58C16919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0EE9D993" w14:textId="3C4C88AF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5F2488D3" w14:textId="17A1EC08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39E8BF88" w14:textId="310888F8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0A6BD874" w14:textId="7DD5C3BA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proofErr w:type="gramStart"/>
      <w:r>
        <w:rPr>
          <w:rFonts w:ascii="Arial" w:hAnsi="Arial" w:cs="Arial"/>
          <w:bCs/>
          <w:lang w:val="es-ES"/>
        </w:rPr>
        <w:t>En relación a</w:t>
      </w:r>
      <w:proofErr w:type="gramEnd"/>
      <w:r>
        <w:rPr>
          <w:rFonts w:ascii="Arial" w:hAnsi="Arial" w:cs="Arial"/>
          <w:bCs/>
          <w:lang w:val="es-ES"/>
        </w:rPr>
        <w:t xml:space="preserve"> la rotación de la cartera de inversiones, la estimación de dicho coeficiente de rotación</w:t>
      </w:r>
      <w:r w:rsidR="00766E9C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se realiza en base a datos de patrimonio medio del Fondo a lo largo del período y de las compras y ventas realizadas (excluyendo las suscripciones y los reembolsos</w:t>
      </w:r>
      <w:r w:rsidR="00766E9C">
        <w:rPr>
          <w:rFonts w:ascii="Arial" w:hAnsi="Arial" w:cs="Arial"/>
          <w:bCs/>
          <w:lang w:val="es-ES"/>
        </w:rPr>
        <w:t>)</w:t>
      </w:r>
      <w:r>
        <w:rPr>
          <w:rFonts w:ascii="Arial" w:hAnsi="Arial" w:cs="Arial"/>
          <w:bCs/>
          <w:lang w:val="es-ES"/>
        </w:rPr>
        <w:t>. En base a ello, a cierre del 31 de diciembre de 202</w:t>
      </w:r>
      <w:r w:rsidR="00D8322D">
        <w:rPr>
          <w:rFonts w:ascii="Arial" w:hAnsi="Arial" w:cs="Arial"/>
          <w:bCs/>
          <w:lang w:val="es-ES"/>
        </w:rPr>
        <w:t>1</w:t>
      </w:r>
      <w:r>
        <w:rPr>
          <w:rFonts w:ascii="Arial" w:hAnsi="Arial" w:cs="Arial"/>
          <w:bCs/>
          <w:lang w:val="es-ES"/>
        </w:rPr>
        <w:t xml:space="preserve">, el coeficiente de rotación anual ha sido de </w:t>
      </w:r>
      <w:r w:rsidR="00D8322D">
        <w:rPr>
          <w:rFonts w:ascii="Arial" w:hAnsi="Arial" w:cs="Arial"/>
          <w:bCs/>
          <w:lang w:val="es-ES"/>
        </w:rPr>
        <w:t>1,27</w:t>
      </w:r>
      <w:r>
        <w:rPr>
          <w:rFonts w:ascii="Arial" w:hAnsi="Arial" w:cs="Arial"/>
          <w:bCs/>
          <w:lang w:val="es-ES"/>
        </w:rPr>
        <w:t xml:space="preserve"> vec</w:t>
      </w:r>
      <w:r w:rsidR="00766E9C">
        <w:rPr>
          <w:rFonts w:ascii="Arial" w:hAnsi="Arial" w:cs="Arial"/>
          <w:bCs/>
          <w:lang w:val="es-ES"/>
        </w:rPr>
        <w:t>es:</w:t>
      </w:r>
    </w:p>
    <w:p w14:paraId="6029C585" w14:textId="0F7344AC" w:rsidR="004A5E5E" w:rsidRDefault="00D8322D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A93D8" wp14:editId="51E9598A">
            <wp:simplePos x="0" y="0"/>
            <wp:positionH relativeFrom="column">
              <wp:posOffset>258208</wp:posOffset>
            </wp:positionH>
            <wp:positionV relativeFrom="paragraph">
              <wp:posOffset>310338</wp:posOffset>
            </wp:positionV>
            <wp:extent cx="5314950" cy="22288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D913F" w14:textId="3828C751" w:rsidR="004A5E5E" w:rsidRPr="00EB0376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</w:t>
      </w:r>
      <w:bookmarkStart w:id="0" w:name="_GoBack"/>
      <w:bookmarkEnd w:id="0"/>
    </w:p>
    <w:sectPr w:rsidR="004A5E5E" w:rsidRPr="00EB0376" w:rsidSect="00FD1BBB">
      <w:pgSz w:w="11906" w:h="16838"/>
      <w:pgMar w:top="113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A262B"/>
    <w:multiLevelType w:val="hybridMultilevel"/>
    <w:tmpl w:val="69DEFCD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7E"/>
    <w:rsid w:val="00220C08"/>
    <w:rsid w:val="00327409"/>
    <w:rsid w:val="00350810"/>
    <w:rsid w:val="003776A0"/>
    <w:rsid w:val="00487715"/>
    <w:rsid w:val="004A5E5E"/>
    <w:rsid w:val="0052307E"/>
    <w:rsid w:val="0052412C"/>
    <w:rsid w:val="006173E7"/>
    <w:rsid w:val="00642C71"/>
    <w:rsid w:val="00766E9C"/>
    <w:rsid w:val="007C1EC8"/>
    <w:rsid w:val="008F688B"/>
    <w:rsid w:val="00B17C9C"/>
    <w:rsid w:val="00BD3FAB"/>
    <w:rsid w:val="00CF6AAA"/>
    <w:rsid w:val="00D8322D"/>
    <w:rsid w:val="00DE3E32"/>
    <w:rsid w:val="00E33A84"/>
    <w:rsid w:val="00EB0376"/>
    <w:rsid w:val="00EC472E"/>
    <w:rsid w:val="00FB43A7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B63A"/>
  <w15:chartTrackingRefBased/>
  <w15:docId w15:val="{9CA5A7A5-E6B2-4EE0-8044-6BFC7B6A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3E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RVDT01\FINANZAS\CLIENTES\2020\ESPA&#209;ADUERO-GMI\FONDEMPLEO\2020_12\INFORME\PLANTILLA_INFORME_LT.xlsb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sz="1000"/>
              <a:t>Distribución de la cartera por tipos de activo</a:t>
            </a:r>
          </a:p>
        </c:rich>
      </c:tx>
      <c:layout>
        <c:manualLayout>
          <c:xMode val="edge"/>
          <c:yMode val="edge"/>
          <c:x val="0.18001933968780462"/>
          <c:y val="3.703690447784983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28646974941008"/>
          <c:y val="0.36862558846810822"/>
          <c:w val="0.70432115905484283"/>
          <c:h val="0.45129903535414501"/>
        </c:manualLayout>
      </c:layout>
      <c:pie3DChart>
        <c:varyColors val="1"/>
        <c:ser>
          <c:idx val="0"/>
          <c:order val="0"/>
          <c:tx>
            <c:strRef>
              <c:f>Graficos!$K$2</c:f>
              <c:strCache>
                <c:ptCount val="1"/>
                <c:pt idx="0">
                  <c:v>%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C0C0C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D93-4937-8E8B-ADA35F0674CA}"/>
              </c:ext>
            </c:extLst>
          </c:dPt>
          <c:dPt>
            <c:idx val="1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BF014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D93-4937-8E8B-ADA35F0674CA}"/>
              </c:ext>
            </c:extLst>
          </c:dPt>
          <c:dPt>
            <c:idx val="2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FF990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D93-4937-8E8B-ADA35F0674CA}"/>
              </c:ext>
            </c:extLst>
          </c:dPt>
          <c:dPt>
            <c:idx val="3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FFFF99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D93-4937-8E8B-ADA35F0674CA}"/>
              </c:ext>
            </c:extLst>
          </c:dPt>
          <c:dPt>
            <c:idx val="4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CCFFCC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D93-4937-8E8B-ADA35F0674CA}"/>
              </c:ext>
            </c:extLst>
          </c:dPt>
          <c:dLbls>
            <c:dLbl>
              <c:idx val="0"/>
              <c:layout>
                <c:manualLayout>
                  <c:x val="-1.2516487778073595E-2"/>
                  <c:y val="-4.8298962629671288E-2"/>
                </c:manualLayout>
              </c:layout>
              <c:tx>
                <c:rich>
                  <a:bodyPr/>
                  <a:lstStyle/>
                  <a:p>
                    <a:fld id="{2AED9C37-9E35-4804-A650-11D6DEA2DA20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8,66%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D93-4937-8E8B-ADA35F0674CA}"/>
                </c:ext>
              </c:extLst>
            </c:dLbl>
            <c:dLbl>
              <c:idx val="1"/>
              <c:layout>
                <c:manualLayout>
                  <c:x val="5.2962765247564395E-2"/>
                  <c:y val="-1.0026317499343062E-16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Renta Fija
47,62%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323289391086007"/>
                      <c:h val="0.205086136177194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D93-4937-8E8B-ADA35F0674CA}"/>
                </c:ext>
              </c:extLst>
            </c:dLbl>
            <c:dLbl>
              <c:idx val="2"/>
              <c:layout>
                <c:manualLayout>
                  <c:x val="1.3025618208099162E-2"/>
                  <c:y val="-6.68412281798108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Otros</a:t>
                    </a:r>
                    <a:r>
                      <a:rPr lang="en-US" baseline="0"/>
                      <a:t> Activos 2,53%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93-4937-8E8B-ADA35F0674CA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93-4937-8E8B-ADA35F0674CA}"/>
                </c:ext>
              </c:extLst>
            </c:dLbl>
            <c:dLbl>
              <c:idx val="4"/>
              <c:layout>
                <c:manualLayout>
                  <c:x val="-8.6235301095837533E-2"/>
                  <c:y val="-3.08303135610919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Renta Variable</a:t>
                    </a:r>
                    <a:r>
                      <a:rPr lang="en-US" baseline="0"/>
                      <a:t>
41,19%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673571876961707"/>
                      <c:h val="0.205086136177194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AD93-4937-8E8B-ADA35F0674CA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D93-4937-8E8B-ADA35F0674CA}"/>
                </c:ext>
              </c:extLst>
            </c:dLbl>
            <c:dLbl>
              <c:idx val="6"/>
              <c:layout>
                <c:manualLayout>
                  <c:x val="-1.038102934890728E-2"/>
                  <c:y val="-6.2764292179838518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D93-4937-8E8B-ADA35F0674CA}"/>
                </c:ext>
              </c:extLst>
            </c:dLbl>
            <c:dLbl>
              <c:idx val="7"/>
              <c:layout>
                <c:manualLayout>
                  <c:x val="1.0834992417876492E-2"/>
                  <c:y val="-6.1892335101420434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D93-4937-8E8B-ADA35F0674CA}"/>
                </c:ext>
              </c:extLst>
            </c:dLbl>
            <c:dLbl>
              <c:idx val="8"/>
              <c:layout>
                <c:manualLayout>
                  <c:x val="3.5897750882673975E-2"/>
                  <c:y val="-6.422614009344178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D93-4937-8E8B-ADA35F0674CA}"/>
                </c:ext>
              </c:extLst>
            </c:dLbl>
            <c:dLbl>
              <c:idx val="9"/>
              <c:layout>
                <c:manualLayout>
                  <c:x val="5.3711076125942524E-2"/>
                  <c:y val="-6.5315776720764482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D93-4937-8E8B-ADA35F0674CA}"/>
                </c:ext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_tradn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Graficos!$J$3:$J$8</c:f>
              <c:strCache>
                <c:ptCount val="6"/>
                <c:pt idx="0">
                  <c:v>Liquidez</c:v>
                </c:pt>
                <c:pt idx="1">
                  <c:v>Bonos Fijos</c:v>
                </c:pt>
                <c:pt idx="2">
                  <c:v>Bonos Flotantes</c:v>
                </c:pt>
                <c:pt idx="3">
                  <c:v>Fondos Rf</c:v>
                </c:pt>
                <c:pt idx="4">
                  <c:v>Acciones</c:v>
                </c:pt>
                <c:pt idx="5">
                  <c:v>Fondos Rv</c:v>
                </c:pt>
              </c:strCache>
            </c:strRef>
          </c:cat>
          <c:val>
            <c:numRef>
              <c:f>Graficos!$K$3:$K$8</c:f>
              <c:numCache>
                <c:formatCode>#,##0</c:formatCode>
                <c:ptCount val="6"/>
                <c:pt idx="0">
                  <c:v>2424006.62</c:v>
                </c:pt>
                <c:pt idx="1">
                  <c:v>75015976.370000005</c:v>
                </c:pt>
                <c:pt idx="2">
                  <c:v>3128717.69</c:v>
                </c:pt>
                <c:pt idx="3">
                  <c:v>0</c:v>
                </c:pt>
                <c:pt idx="4">
                  <c:v>21380733.392723098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D93-4937-8E8B-ADA35F0674C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_tradn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Manzano Lavelle</dc:creator>
  <cp:keywords/>
  <dc:description/>
  <cp:lastModifiedBy>Ignacio Martin Ocaña</cp:lastModifiedBy>
  <cp:revision>2</cp:revision>
  <cp:lastPrinted>2021-12-27T10:13:00Z</cp:lastPrinted>
  <dcterms:created xsi:type="dcterms:W3CDTF">2022-03-29T08:38:00Z</dcterms:created>
  <dcterms:modified xsi:type="dcterms:W3CDTF">2022-03-29T08:38:00Z</dcterms:modified>
</cp:coreProperties>
</file>