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25ECD519" w:rsidR="008F688B" w:rsidRDefault="00CD599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Caja España Vida Asociado </w:t>
      </w:r>
      <w:r w:rsidR="00E33A84">
        <w:rPr>
          <w:rFonts w:ascii="Arial" w:hAnsi="Arial" w:cs="Arial"/>
          <w:b/>
          <w:bCs/>
          <w:u w:val="single"/>
          <w:lang w:val="es-ES"/>
        </w:rPr>
        <w:t>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803CA0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6F0D6628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803CA0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61D0C457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291F76">
        <w:rPr>
          <w:rFonts w:ascii="Arial" w:hAnsi="Arial" w:cs="Arial"/>
          <w:bCs/>
          <w:lang w:val="es-ES"/>
        </w:rPr>
        <w:t>Fija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291F76">
        <w:rPr>
          <w:rFonts w:ascii="Arial" w:hAnsi="Arial" w:cs="Arial"/>
          <w:bCs/>
          <w:lang w:val="es-ES"/>
        </w:rPr>
        <w:t>30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3485A1C7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99725F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la valoración a contado de la cartera de inversiones del Fondo de Pensiones era de</w:t>
      </w:r>
      <w:r w:rsidR="00A171CA">
        <w:rPr>
          <w:rFonts w:ascii="Arial" w:hAnsi="Arial" w:cs="Arial"/>
          <w:bCs/>
          <w:lang w:val="es-ES"/>
        </w:rPr>
        <w:t xml:space="preserve"> </w:t>
      </w:r>
      <w:r w:rsidR="00CD599E">
        <w:rPr>
          <w:rFonts w:ascii="Arial" w:hAnsi="Arial" w:cs="Arial"/>
          <w:bCs/>
          <w:lang w:val="es-ES"/>
        </w:rPr>
        <w:t>4</w:t>
      </w:r>
      <w:r w:rsidR="0099725F">
        <w:rPr>
          <w:rFonts w:ascii="Arial" w:hAnsi="Arial" w:cs="Arial"/>
          <w:bCs/>
          <w:lang w:val="es-ES"/>
        </w:rPr>
        <w:t>07</w:t>
      </w:r>
      <w:r w:rsidR="00CD599E">
        <w:rPr>
          <w:rFonts w:ascii="Arial" w:hAnsi="Arial" w:cs="Arial"/>
          <w:bCs/>
          <w:lang w:val="es-ES"/>
        </w:rPr>
        <w:t>.</w:t>
      </w:r>
      <w:r w:rsidR="0099725F">
        <w:rPr>
          <w:rFonts w:ascii="Arial" w:hAnsi="Arial" w:cs="Arial"/>
          <w:bCs/>
          <w:lang w:val="es-ES"/>
        </w:rPr>
        <w:t>677,13</w:t>
      </w:r>
      <w:r w:rsidR="00CD599E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Euros. La estructura de inversiones estaba repartida en un </w:t>
      </w:r>
      <w:r w:rsidR="00CD599E">
        <w:rPr>
          <w:rFonts w:ascii="Arial" w:hAnsi="Arial" w:cs="Arial"/>
          <w:bCs/>
          <w:lang w:val="es-ES"/>
        </w:rPr>
        <w:t>6</w:t>
      </w:r>
      <w:r w:rsidR="0099725F">
        <w:rPr>
          <w:rFonts w:ascii="Arial" w:hAnsi="Arial" w:cs="Arial"/>
          <w:bCs/>
          <w:lang w:val="es-ES"/>
        </w:rPr>
        <w:t>3,90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291F76">
        <w:rPr>
          <w:rFonts w:ascii="Arial" w:hAnsi="Arial" w:cs="Arial"/>
          <w:bCs/>
          <w:lang w:val="es-ES"/>
        </w:rPr>
        <w:t>2</w:t>
      </w:r>
      <w:r w:rsidR="0099725F">
        <w:rPr>
          <w:rFonts w:ascii="Arial" w:hAnsi="Arial" w:cs="Arial"/>
          <w:bCs/>
          <w:lang w:val="es-ES"/>
        </w:rPr>
        <w:t>3,86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CD599E">
        <w:rPr>
          <w:rFonts w:ascii="Arial" w:hAnsi="Arial" w:cs="Arial"/>
          <w:bCs/>
          <w:lang w:val="es-ES"/>
        </w:rPr>
        <w:t>3,</w:t>
      </w:r>
      <w:r w:rsidR="0099725F">
        <w:rPr>
          <w:rFonts w:ascii="Arial" w:hAnsi="Arial" w:cs="Arial"/>
          <w:bCs/>
          <w:lang w:val="es-ES"/>
        </w:rPr>
        <w:t>42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99725F">
        <w:rPr>
          <w:rFonts w:ascii="Arial" w:hAnsi="Arial" w:cs="Arial"/>
          <w:bCs/>
          <w:lang w:val="es-ES"/>
        </w:rPr>
        <w:t>8,82</w:t>
      </w:r>
      <w:r w:rsidR="00766E9C">
        <w:rPr>
          <w:rFonts w:ascii="Arial" w:hAnsi="Arial" w:cs="Arial"/>
          <w:bCs/>
          <w:lang w:val="es-ES"/>
        </w:rPr>
        <w:t>% de liquidez</w:t>
      </w:r>
      <w:r w:rsidR="00E33A84">
        <w:rPr>
          <w:rFonts w:ascii="Arial" w:hAnsi="Arial" w:cs="Arial"/>
          <w:bCs/>
          <w:lang w:val="es-ES"/>
        </w:rPr>
        <w:t>: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44082663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6F7A92BA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5103AA">
        <w:rPr>
          <w:rFonts w:ascii="Arial" w:hAnsi="Arial" w:cs="Arial"/>
          <w:bCs/>
          <w:lang w:val="es-ES"/>
        </w:rPr>
        <w:t>1</w:t>
      </w:r>
      <w:bookmarkStart w:id="0" w:name="_GoBack"/>
      <w:bookmarkEnd w:id="0"/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99725F">
        <w:rPr>
          <w:rFonts w:ascii="Arial" w:hAnsi="Arial" w:cs="Arial"/>
          <w:bCs/>
          <w:lang w:val="es-ES"/>
        </w:rPr>
        <w:t>0,18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76EEFE70" w:rsidR="004A5E5E" w:rsidRDefault="0099725F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551C3" wp14:editId="4C3E7F15">
            <wp:simplePos x="0" y="0"/>
            <wp:positionH relativeFrom="column">
              <wp:posOffset>243205</wp:posOffset>
            </wp:positionH>
            <wp:positionV relativeFrom="paragraph">
              <wp:posOffset>266862</wp:posOffset>
            </wp:positionV>
            <wp:extent cx="5400675" cy="21717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913F" w14:textId="5D50919C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220C08"/>
    <w:rsid w:val="00291F76"/>
    <w:rsid w:val="00327409"/>
    <w:rsid w:val="00350810"/>
    <w:rsid w:val="003776A0"/>
    <w:rsid w:val="00487715"/>
    <w:rsid w:val="004A5E5E"/>
    <w:rsid w:val="005103AA"/>
    <w:rsid w:val="0052307E"/>
    <w:rsid w:val="0052412C"/>
    <w:rsid w:val="006173E7"/>
    <w:rsid w:val="00642C71"/>
    <w:rsid w:val="00766E9C"/>
    <w:rsid w:val="007C1EC8"/>
    <w:rsid w:val="00803CA0"/>
    <w:rsid w:val="00897B44"/>
    <w:rsid w:val="008F688B"/>
    <w:rsid w:val="00972999"/>
    <w:rsid w:val="0099725F"/>
    <w:rsid w:val="00A171CA"/>
    <w:rsid w:val="00B17C9C"/>
    <w:rsid w:val="00BD3FAB"/>
    <w:rsid w:val="00CD599E"/>
    <w:rsid w:val="00CF6AAA"/>
    <w:rsid w:val="00DE3E32"/>
    <w:rsid w:val="00E33A84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8,82%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Fija 63,90%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 3,42%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</a:t>
                    </a:r>
                    <a:r>
                      <a:rPr lang="en-US" baseline="0"/>
                      <a:t> Variable
23,86%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3</cp:revision>
  <cp:lastPrinted>2021-12-27T10:13:00Z</cp:lastPrinted>
  <dcterms:created xsi:type="dcterms:W3CDTF">2022-03-29T08:22:00Z</dcterms:created>
  <dcterms:modified xsi:type="dcterms:W3CDTF">2022-03-29T09:17:00Z</dcterms:modified>
</cp:coreProperties>
</file>